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732134" w14:textId="614A0022" w:rsidR="00183FCF" w:rsidRDefault="00183FCF" w:rsidP="00183FCF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APPENDIX </w:t>
      </w:r>
      <w:r w:rsidR="0020791B">
        <w:rPr>
          <w:rFonts w:asciiTheme="minorHAnsi" w:hAnsiTheme="minorHAnsi" w:cstheme="minorHAnsi"/>
          <w:b/>
          <w:sz w:val="24"/>
          <w:szCs w:val="24"/>
        </w:rPr>
        <w:t>3</w:t>
      </w:r>
    </w:p>
    <w:p w14:paraId="2B6E87B6" w14:textId="77777777" w:rsidR="00183FCF" w:rsidRDefault="00183FCF" w:rsidP="00183FCF">
      <w:pPr>
        <w:rPr>
          <w:rFonts w:asciiTheme="minorHAnsi" w:hAnsiTheme="minorHAnsi" w:cstheme="minorHAnsi"/>
          <w:sz w:val="24"/>
          <w:szCs w:val="24"/>
        </w:rPr>
      </w:pPr>
    </w:p>
    <w:p w14:paraId="2519F8AB" w14:textId="70A22330" w:rsidR="00183FCF" w:rsidRDefault="00183FCF" w:rsidP="00183FCF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5D05CD">
        <w:rPr>
          <w:rFonts w:asciiTheme="minorHAnsi" w:hAnsiTheme="minorHAnsi" w:cstheme="minorHAnsi"/>
          <w:sz w:val="24"/>
          <w:szCs w:val="24"/>
        </w:rPr>
        <w:t xml:space="preserve">Plots of estimates of Age 2 Pacific herring recruitment from the five different Pacific </w:t>
      </w:r>
      <w:r>
        <w:rPr>
          <w:rFonts w:asciiTheme="minorHAnsi" w:hAnsiTheme="minorHAnsi" w:cstheme="minorHAnsi"/>
          <w:sz w:val="24"/>
          <w:szCs w:val="24"/>
        </w:rPr>
        <w:t>H</w:t>
      </w:r>
      <w:r w:rsidRPr="005D05CD">
        <w:rPr>
          <w:rFonts w:asciiTheme="minorHAnsi" w:hAnsiTheme="minorHAnsi" w:cstheme="minorHAnsi"/>
          <w:sz w:val="24"/>
          <w:szCs w:val="24"/>
        </w:rPr>
        <w:t>erring management areas</w:t>
      </w:r>
      <w:r>
        <w:rPr>
          <w:rFonts w:asciiTheme="minorHAnsi" w:hAnsiTheme="minorHAnsi" w:cstheme="minorHAnsi"/>
          <w:sz w:val="24"/>
          <w:szCs w:val="24"/>
        </w:rPr>
        <w:t xml:space="preserve"> considered in this study</w:t>
      </w:r>
      <w:r w:rsidRPr="005D05CD">
        <w:rPr>
          <w:rFonts w:asciiTheme="minorHAnsi" w:hAnsiTheme="minorHAnsi" w:cstheme="minorHAnsi"/>
          <w:sz w:val="24"/>
          <w:szCs w:val="24"/>
        </w:rPr>
        <w:t>.</w:t>
      </w:r>
    </w:p>
    <w:p w14:paraId="172CDF47" w14:textId="77777777" w:rsidR="00183FCF" w:rsidRPr="005D05CD" w:rsidRDefault="00183FCF" w:rsidP="00183FCF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2C413C3C" w14:textId="4FCF0F26" w:rsidR="005E1C59" w:rsidRDefault="00183FCF">
      <w:r w:rsidRPr="005D05CD">
        <w:rPr>
          <w:rFonts w:asciiTheme="minorHAnsi" w:hAnsiTheme="minorHAnsi" w:cstheme="minorHAnsi"/>
          <w:noProof/>
          <w:sz w:val="24"/>
          <w:szCs w:val="24"/>
        </w:rPr>
        <w:drawing>
          <wp:inline distT="0" distB="0" distL="0" distR="0" wp14:anchorId="5584F50E" wp14:editId="3BACD632">
            <wp:extent cx="5943600" cy="5943600"/>
            <wp:effectExtent l="0" t="0" r="0" b="0"/>
            <wp:docPr id="2" name="Picture 2" descr="Chart, scatte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hart, scatter chart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E1C59" w:rsidSect="0039554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FCF"/>
    <w:rsid w:val="00084113"/>
    <w:rsid w:val="00183FCF"/>
    <w:rsid w:val="0020791B"/>
    <w:rsid w:val="00227CC2"/>
    <w:rsid w:val="002F2E88"/>
    <w:rsid w:val="00395541"/>
    <w:rsid w:val="005E1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96ED952"/>
  <w15:chartTrackingRefBased/>
  <w15:docId w15:val="{EF52B39F-0153-F747-8AE3-F0C605CA2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3FCF"/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Rosalyn Johnson</dc:creator>
  <cp:keywords/>
  <dc:description/>
  <cp:lastModifiedBy>Rosalyn Johnson</cp:lastModifiedBy>
  <cp:revision>4</cp:revision>
  <dcterms:created xsi:type="dcterms:W3CDTF">2020-10-23T15:25:00Z</dcterms:created>
  <dcterms:modified xsi:type="dcterms:W3CDTF">2020-11-18T11:41:00Z</dcterms:modified>
</cp:coreProperties>
</file>